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keepNext/>
        <w:spacing w:after="240"/>
      </w:pPr>
      <w:r>
        <w:rPr>
          <w:b/>
          <w:bCs/>
          <w:color w:val="000000"/>
          <w:sz w:val="36"/>
          <w:szCs w:val="36"/>
        </w:rPr>
        <w:t xml:space="preserve">Бизнес инвестиции и пенсионные накопления</w:t>
      </w:r>
    </w:p>
    <w:p>
      <w:pPr>
        <w:widowControl/>
        <w:spacing w:after="120" w:line="300"/>
      </w:pPr>
      <w:r>
        <w:t xml:space="preserve">Подготовка к разговору с юристом, не юридическая консультация и не брачный договор. Правила зависят от штата и страны. Для подготовки и проверки договора обратитесь к адвокату по семейному праву; каждому партнёру рекомендуется свой независимый адвокат. Здесь нет подписания или гарантии юридической силы.</w:t>
      </w:r>
    </w:p>
    <w:p>
      <w:pPr>
        <w:widowControl/>
        <w:spacing w:after="120" w:line="300"/>
      </w:pPr>
      <w:r>
        <w:t xml:space="preserve">Для каждого актива:</w:t>
      </w:r>
    </w:p>
    <w:p>
      <w:pPr>
        <w:widowControl/>
        <w:spacing w:after="120" w:line="300"/>
      </w:pPr>
      <w:r>
        <w:t xml:space="preserve">Сводный список: один актив или долг на строку. В Word можно добавлять строки. Указывайте исходную валюту; бланк не рассчитывает итоговые суммы.</w:t>
      </w:r>
    </w:p>
    <w:tbl>
      <w:tblPr>
        <w:tblW w:type="dxa" w:w="10080"/>
        <w:tblBorders>
          <w:top w:val="single" w:color="D9D9D9" w:sz="4"/>
          <w:left w:val="single" w:color="D9D9D9" w:sz="4"/>
          <w:bottom w:val="single" w:color="D9D9D9" w:sz="4"/>
          <w:right w:val="single" w:color="D9D9D9" w:sz="4"/>
          <w:insideH w:val="single" w:color="D9D9D9" w:sz="4"/>
          <w:insideV w:val="single" w:color="D9D9D9" w:sz="4"/>
        </w:tblBorders>
        <w:tblLayout w:type="fixed"/>
      </w:tblPr>
      <w:tblGrid>
        <w:gridCol w:w="3100"/>
        <w:gridCol w:w="1900"/>
        <w:gridCol w:w="2400"/>
        <w:gridCol w:w="2680"/>
      </w:tblGrid>
      <w:tr>
        <w:trPr>
          <w:cantSplit/>
          <w:tblHeader/>
          <w:trHeight w:val="680" w:hRule="atLeast"/>
        </w:trPr>
        <w:tc>
          <w:tcPr>
            <w:tcW w:type="dxa" w:w="3100"/>
            <w:shd w:fill="EAF1F8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/>
                <w:bCs/>
                <w:sz w:val="21"/>
                <w:szCs w:val="21"/>
              </w:rPr>
              <w:t xml:space="preserve">Актив или доля</w:t>
            </w:r>
          </w:p>
        </w:tc>
        <w:tc>
          <w:tcPr>
            <w:tcW w:type="dxa" w:w="1900"/>
            <w:shd w:fill="EAF1F8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/>
                <w:bCs/>
                <w:sz w:val="21"/>
                <w:szCs w:val="21"/>
              </w:rPr>
              <w:t xml:space="preserve">Владелец</w:t>
            </w:r>
          </w:p>
        </w:tc>
        <w:tc>
          <w:tcPr>
            <w:tcW w:type="dxa" w:w="2400"/>
            <w:shd w:fill="EAF1F8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/>
                <w:bCs/>
                <w:sz w:val="21"/>
                <w:szCs w:val="21"/>
              </w:rPr>
              <w:t xml:space="preserve">Стоимость и валюта</w:t>
            </w:r>
          </w:p>
        </w:tc>
        <w:tc>
          <w:tcPr>
            <w:tcW w:type="dxa" w:w="2680"/>
            <w:shd w:fill="EAF1F8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/>
                <w:bCs/>
                <w:sz w:val="21"/>
                <w:szCs w:val="21"/>
              </w:rPr>
              <w:t xml:space="preserve">Дата и метод оценки</w:t>
            </w:r>
          </w:p>
        </w:tc>
      </w:tr>
      <w:tr>
        <w:trPr>
          <w:cantSplit/>
          <w:trHeight w:val="680" w:hRule="atLeast"/>
        </w:trPr>
        <w:tc>
          <w:tcPr>
            <w:tcW w:type="dxa" w:w="31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9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24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268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31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9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24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268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31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9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24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268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31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9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24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268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31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9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24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268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</w:tbl>
    <w:p>
      <w:pPr>
        <w:widowControl/>
        <w:spacing w:after="60" w:line="300"/>
      </w:pPr>
      <w:r>
        <w:t xml:space="preserve"> </w:t>
      </w:r>
    </w:p>
    <w:p>
      <w:pPr>
        <w:widowControl/>
        <w:spacing w:after="120" w:line="300"/>
      </w:pPr>
      <w:r>
        <w:t xml:space="preserve">Подробности одного актива или долга: укажите строку из списка выше. Скопируйте эту таблицу для каждого следующего объекта.</w:t>
      </w:r>
    </w:p>
    <w:tbl>
      <w:tblPr>
        <w:tblW w:type="dxa" w:w="10080"/>
        <w:tblBorders>
          <w:top w:val="single" w:color="D9D9D9" w:sz="4"/>
          <w:left w:val="single" w:color="D9D9D9" w:sz="4"/>
          <w:bottom w:val="single" w:color="D9D9D9" w:sz="4"/>
          <w:right w:val="single" w:color="D9D9D9" w:sz="4"/>
          <w:insideH w:val="single" w:color="D9D9D9" w:sz="4"/>
          <w:insideV w:val="single" w:color="D9D9D9" w:sz="4"/>
        </w:tblBorders>
        <w:tblLayout w:type="fixed"/>
      </w:tblPr>
      <w:tblGrid>
        <w:gridCol w:w="4600"/>
        <w:gridCol w:w="5480"/>
      </w:tblGrid>
      <w:tr>
        <w:trPr>
          <w:cantSplit/>
          <w:tblHeader/>
          <w:trHeight w:val="680" w:hRule="atLeast"/>
        </w:trPr>
        <w:tc>
          <w:tcPr>
            <w:tcW w:type="dxa" w:w="4600"/>
            <w:shd w:fill="EAF1F8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/>
                <w:bCs/>
                <w:sz w:val="21"/>
                <w:szCs w:val="21"/>
              </w:rPr>
              <w:t xml:space="preserve">Что указать</w:t>
            </w:r>
          </w:p>
        </w:tc>
        <w:tc>
          <w:tcPr>
            <w:tcW w:type="dxa" w:w="5480"/>
            <w:shd w:fill="EAF1F8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/>
                <w:bCs/>
                <w:sz w:val="21"/>
                <w:szCs w:val="21"/>
              </w:rPr>
              <w:t xml:space="preserve">Ваши записи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Тип актива и владелец</w:t>
            </w:r>
          </w:p>
        </w:tc>
        <w:tc>
          <w:tcPr>
            <w:tcW w:type="dxa" w:w="548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Дата приобретения и источник вложений</w:t>
            </w:r>
          </w:p>
        </w:tc>
        <w:tc>
          <w:tcPr>
            <w:tcW w:type="dxa" w:w="548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Стоимость и метод оценки</w:t>
            </w:r>
          </w:p>
        </w:tc>
        <w:tc>
          <w:tcPr>
            <w:tcW w:type="dxa" w:w="548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Ограничения передачи или продажи</w:t>
            </w:r>
          </w:p>
        </w:tc>
        <w:tc>
          <w:tcPr>
            <w:tcW w:type="dxa" w:w="548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Доход и будущие вложения</w:t>
            </w:r>
          </w:p>
        </w:tc>
        <w:tc>
          <w:tcPr>
            <w:tcW w:type="dxa" w:w="548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Вклад партнёра: деньги, труд, семейная забота</w:t>
            </w:r>
          </w:p>
        </w:tc>
        <w:tc>
          <w:tcPr>
            <w:tcW w:type="dxa" w:w="548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Долги и гарантии</w:t>
            </w:r>
          </w:p>
        </w:tc>
        <w:tc>
          <w:tcPr>
            <w:tcW w:type="dxa" w:w="548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Другие участники и соглашения</w:t>
            </w:r>
          </w:p>
        </w:tc>
        <w:tc>
          <w:tcPr>
            <w:tcW w:type="dxa" w:w="548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Подтверждающие документы</w:t>
            </w:r>
          </w:p>
        </w:tc>
        <w:tc>
          <w:tcPr>
            <w:tcW w:type="dxa" w:w="548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Вопросы юристу о росте стоимости, пенсионных правилах и налогах</w:t>
            </w:r>
          </w:p>
        </w:tc>
        <w:tc>
          <w:tcPr>
            <w:tcW w:type="dxa" w:w="548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</w:tbl>
    <w:p>
      <w:pPr>
        <w:widowControl/>
        <w:spacing w:after="60" w:line="300"/>
      </w:pPr>
      <w:r>
        <w:t xml:space="preserve"> </w:t>
      </w:r>
    </w:p>
    <w:p>
      <w:pPr>
        <w:widowControl/>
        <w:spacing w:after="120" w:line="300"/>
      </w:pPr>
      <w:r>
        <w:t xml:space="preserve">Не определяйте самостоятельно отказ от пенсионных прав или налоговые последствия. Могут потребоваться профильные специалисты.</w:t>
      </w:r>
    </w:p>
    <w:p>
      <w:pPr>
        <w:widowControl/>
        <w:spacing w:after="120" w:line="300"/>
      </w:pPr>
      <w:r>
        <w:t xml:space="preserve">Авторский образовательный бланк «На берегу» / DowidAI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000000"/>
        <w:sz w:val="22"/>
        <w:szCs w:val="22"/>
      </w:rPr>
    </w:rPrDefault>
    <w:pPrDefault>
      <w:pPr>
        <w:spacing w:after="120" w:line="3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Бизнес инвестиции и пенсионные накопления</dc:title>
  <dc:creator>DowidAI</dc:creator>
  <cp:lastModifiedBy>Un-named</cp:lastModifiedBy>
  <cp:revision>1</cp:revision>
  <dcterms:created xsi:type="dcterms:W3CDTF">2026-10-21T19:14:33.474Z</dcterms:created>
  <dcterms:modified xsi:type="dcterms:W3CDTF">2026-10-21T19:14:33.474Z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