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Financial document checklist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p>
      <w:pPr>
        <w:widowControl/>
        <w:spacing w:after="120" w:line="300"/>
      </w:pPr>
      <w:r>
        <w:t xml:space="preserve">Complete offline. Do not include account numbers, SSNs, passwords, or full addresses. This list does not replace financial disclosure prepared with counsel.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Field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Your notes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Assets and estimated values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Debts and obligations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Income sources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Businesses and ownership interests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Retirement savings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Inheritances and gifts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Documents to share securely with counsel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Questions about uncertain valuations or obligations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document checklist</dc:title>
  <dc:creator>DowidAI</dc:creator>
  <cp:lastModifiedBy>Un-named</cp:lastModifiedBy>
  <cp:revision>1</cp:revision>
  <dcterms:created xsi:type="dcterms:W3CDTF">2026-10-21T21:12:46.152Z</dcterms:created>
  <dcterms:modified xsi:type="dcterms:W3CDTF">2026-10-21T21:12:46.152Z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